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708" w:rsidRDefault="00DB5708" w:rsidP="00DB5708">
      <w:pPr>
        <w:jc w:val="center"/>
      </w:pPr>
      <w:r>
        <w:rPr>
          <w:b/>
          <w:bCs/>
        </w:rPr>
        <w:t xml:space="preserve">Phil </w:t>
      </w:r>
      <w:r w:rsidR="002832CC">
        <w:rPr>
          <w:b/>
          <w:bCs/>
        </w:rPr>
        <w:t>215 - Kierkegaard</w:t>
      </w:r>
    </w:p>
    <w:p w:rsidR="00DB5708" w:rsidRDefault="00DB5708" w:rsidP="00DB5708">
      <w:r>
        <w:t>Russell Hamer</w:t>
      </w:r>
    </w:p>
    <w:p w:rsidR="00DB5708" w:rsidRDefault="006E29B2" w:rsidP="00DB5708">
      <w:hyperlink r:id="rId5" w:history="1">
        <w:r w:rsidR="00DB5708">
          <w:rPr>
            <w:rStyle w:val="Hyperlink"/>
          </w:rPr>
          <w:t>rhamer@ccc.edu</w:t>
        </w:r>
      </w:hyperlink>
    </w:p>
    <w:p w:rsidR="00DB5708" w:rsidRDefault="00DB5708" w:rsidP="00DB5708">
      <w:r>
        <w:t>Phil 106 D9, 9:30-10:50, A250</w:t>
      </w:r>
    </w:p>
    <w:p w:rsidR="006734BA" w:rsidRDefault="00DB5708" w:rsidP="00DB5708">
      <w:r>
        <w:t xml:space="preserve">Office hours </w:t>
      </w:r>
      <w:r w:rsidR="00F91407">
        <w:t>T/TH 11:00-12:30</w:t>
      </w:r>
      <w:r w:rsidR="000317BD">
        <w:t>, L222</w:t>
      </w:r>
    </w:p>
    <w:p w:rsidR="006734BA" w:rsidRDefault="006734BA" w:rsidP="00DB5708"/>
    <w:p w:rsidR="006734BA" w:rsidRDefault="006734BA" w:rsidP="006734BA">
      <w:r>
        <w:rPr>
          <w:b/>
          <w:bCs/>
        </w:rPr>
        <w:t>Course Description</w:t>
      </w:r>
    </w:p>
    <w:p w:rsidR="007003F0" w:rsidRDefault="007003F0" w:rsidP="006734BA">
      <w:r>
        <w:t xml:space="preserve">In this course we will examine the thought and works of Soren Kierkegaard. We will </w:t>
      </w:r>
      <w:r w:rsidR="007D3FBD">
        <w:t xml:space="preserve">be reading only pseudonymous works in this class, focusing on his philosophical writings and not his religious writings. We will seek to understand his overall goal for his works and recognize how each different pseudonymous approach fit into that goal. We will strive to read Kierkegaard’s works not only as good philosophers, but also to keep in mind how Kierkegaard expected them to be read by lay persons. </w:t>
      </w:r>
    </w:p>
    <w:p w:rsidR="006734BA" w:rsidRDefault="006734BA" w:rsidP="006734BA"/>
    <w:p w:rsidR="006734BA" w:rsidRDefault="006734BA" w:rsidP="006734BA">
      <w:pPr>
        <w:tabs>
          <w:tab w:val="left" w:pos="720"/>
        </w:tabs>
        <w:jc w:val="both"/>
        <w:rPr>
          <w:rFonts w:cs="Times New Roman"/>
        </w:rPr>
      </w:pPr>
      <w:r>
        <w:rPr>
          <w:rFonts w:cs="Times New Roman"/>
          <w:b/>
        </w:rPr>
        <w:t>Course Objectives</w:t>
      </w:r>
      <w:r>
        <w:rPr>
          <w:rFonts w:cs="Times New Roman"/>
        </w:rPr>
        <w:t xml:space="preserve">  </w:t>
      </w:r>
    </w:p>
    <w:p w:rsidR="006734BA" w:rsidRDefault="006734BA" w:rsidP="006734BA">
      <w:pPr>
        <w:widowControl w:val="0"/>
        <w:numPr>
          <w:ilvl w:val="0"/>
          <w:numId w:val="1"/>
        </w:numPr>
        <w:suppressAutoHyphens/>
        <w:spacing w:after="0"/>
        <w:contextualSpacing w:val="0"/>
        <w:rPr>
          <w:rFonts w:cs="Times New Roman"/>
        </w:rPr>
      </w:pPr>
      <w:r>
        <w:rPr>
          <w:rFonts w:cs="Times New Roman"/>
        </w:rPr>
        <w:t>Develop the ability to read</w:t>
      </w:r>
      <w:r w:rsidR="006906C5">
        <w:rPr>
          <w:rFonts w:cs="Times New Roman"/>
        </w:rPr>
        <w:t xml:space="preserve"> primary</w:t>
      </w:r>
      <w:r>
        <w:rPr>
          <w:rFonts w:cs="Times New Roman"/>
        </w:rPr>
        <w:t xml:space="preserve"> philosophical texts and to understand them by identifying the key ideas and arguments contained therein.</w:t>
      </w:r>
    </w:p>
    <w:p w:rsidR="006734BA" w:rsidRDefault="006734BA" w:rsidP="006734BA">
      <w:pPr>
        <w:widowControl w:val="0"/>
        <w:numPr>
          <w:ilvl w:val="0"/>
          <w:numId w:val="1"/>
        </w:numPr>
        <w:suppressAutoHyphens/>
        <w:spacing w:after="0"/>
        <w:contextualSpacing w:val="0"/>
        <w:rPr>
          <w:rFonts w:cs="Times New Roman"/>
        </w:rPr>
      </w:pPr>
      <w:r>
        <w:rPr>
          <w:rFonts w:cs="Times New Roman"/>
        </w:rPr>
        <w:t>Develop the ability to write concise, accurate essays about ideas, using proper citation and a logical structure.</w:t>
      </w:r>
    </w:p>
    <w:p w:rsidR="006734BA" w:rsidRPr="006906C5" w:rsidRDefault="006734BA" w:rsidP="006734BA">
      <w:pPr>
        <w:widowControl w:val="0"/>
        <w:numPr>
          <w:ilvl w:val="0"/>
          <w:numId w:val="1"/>
        </w:numPr>
        <w:suppressAutoHyphens/>
        <w:spacing w:after="0"/>
        <w:contextualSpacing w:val="0"/>
      </w:pPr>
      <w:r>
        <w:rPr>
          <w:rFonts w:cs="Times New Roman"/>
        </w:rPr>
        <w:t>Develop the ability to talk in class about readings, expressing yourself cogently and articulately.</w:t>
      </w:r>
    </w:p>
    <w:p w:rsidR="006906C5" w:rsidRPr="006906C5" w:rsidRDefault="007D3FBD" w:rsidP="006734BA">
      <w:pPr>
        <w:widowControl w:val="0"/>
        <w:numPr>
          <w:ilvl w:val="0"/>
          <w:numId w:val="1"/>
        </w:numPr>
        <w:suppressAutoHyphens/>
        <w:spacing w:after="0"/>
        <w:contextualSpacing w:val="0"/>
      </w:pPr>
      <w:proofErr w:type="gramStart"/>
      <w:r>
        <w:rPr>
          <w:rFonts w:cs="Times New Roman"/>
        </w:rPr>
        <w:t>Be able</w:t>
      </w:r>
      <w:r w:rsidR="006906C5">
        <w:rPr>
          <w:rFonts w:cs="Times New Roman"/>
        </w:rPr>
        <w:t xml:space="preserve"> to</w:t>
      </w:r>
      <w:proofErr w:type="gramEnd"/>
      <w:r w:rsidR="006906C5">
        <w:rPr>
          <w:rFonts w:cs="Times New Roman"/>
        </w:rPr>
        <w:t xml:space="preserve"> </w:t>
      </w:r>
      <w:r>
        <w:rPr>
          <w:rFonts w:cs="Times New Roman"/>
        </w:rPr>
        <w:t>describe Kierkegaard’s philosophical approach and the differences between the pseudonyms.</w:t>
      </w:r>
    </w:p>
    <w:p w:rsidR="006906C5" w:rsidRDefault="007D3FBD" w:rsidP="006734BA">
      <w:pPr>
        <w:widowControl w:val="0"/>
        <w:numPr>
          <w:ilvl w:val="0"/>
          <w:numId w:val="1"/>
        </w:numPr>
        <w:suppressAutoHyphens/>
        <w:spacing w:after="0"/>
        <w:contextualSpacing w:val="0"/>
      </w:pPr>
      <w:proofErr w:type="gramStart"/>
      <w:r>
        <w:rPr>
          <w:rFonts w:cs="Times New Roman"/>
        </w:rPr>
        <w:t>Be able to</w:t>
      </w:r>
      <w:proofErr w:type="gramEnd"/>
      <w:r>
        <w:rPr>
          <w:rFonts w:cs="Times New Roman"/>
        </w:rPr>
        <w:t xml:space="preserve"> outline the structure of Kierkegaard’s works and recognize how they interlink with one another.</w:t>
      </w:r>
    </w:p>
    <w:p w:rsidR="00DB5708" w:rsidRDefault="00DB5708" w:rsidP="00DB5708"/>
    <w:p w:rsidR="00DB5708" w:rsidRDefault="00DB5708" w:rsidP="00DB5708">
      <w:r>
        <w:rPr>
          <w:b/>
          <w:bCs/>
        </w:rPr>
        <w:t>Required Texts</w:t>
      </w:r>
    </w:p>
    <w:p w:rsidR="00DB5708" w:rsidRPr="002832CC" w:rsidRDefault="002832CC" w:rsidP="00DB5708">
      <w:r>
        <w:t xml:space="preserve">Kierkegaard, </w:t>
      </w:r>
      <w:r w:rsidRPr="002832CC">
        <w:rPr>
          <w:i/>
        </w:rPr>
        <w:t>Either/Or Part 1</w:t>
      </w:r>
      <w:r>
        <w:t xml:space="preserve"> ISBN</w:t>
      </w:r>
      <w:r w:rsidRPr="002832CC">
        <w:t>: 978-0691020419</w:t>
      </w:r>
    </w:p>
    <w:p w:rsidR="002832CC" w:rsidRDefault="002832CC" w:rsidP="00DB5708">
      <w:r>
        <w:t>Kierkegaard</w:t>
      </w:r>
      <w:r>
        <w:t xml:space="preserve">, </w:t>
      </w:r>
      <w:r w:rsidRPr="002832CC">
        <w:rPr>
          <w:i/>
        </w:rPr>
        <w:t>Fear and Trembling</w:t>
      </w:r>
      <w:r>
        <w:rPr>
          <w:i/>
        </w:rPr>
        <w:t xml:space="preserve"> </w:t>
      </w:r>
      <w:r w:rsidRPr="002832CC">
        <w:t>ISBN: 978-0691020266</w:t>
      </w:r>
    </w:p>
    <w:p w:rsidR="002832CC" w:rsidRDefault="002832CC" w:rsidP="00DB5708">
      <w:r>
        <w:t>Kierkegaard</w:t>
      </w:r>
      <w:r>
        <w:t xml:space="preserve">, </w:t>
      </w:r>
      <w:r w:rsidRPr="002832CC">
        <w:rPr>
          <w:i/>
        </w:rPr>
        <w:t>Philosophical Fragments</w:t>
      </w:r>
      <w:r>
        <w:rPr>
          <w:i/>
        </w:rPr>
        <w:t xml:space="preserve"> </w:t>
      </w:r>
      <w:r>
        <w:t>ISBN</w:t>
      </w:r>
      <w:r w:rsidRPr="002832CC">
        <w:t>: 978-0691020365</w:t>
      </w:r>
    </w:p>
    <w:p w:rsidR="002832CC" w:rsidRDefault="002832CC" w:rsidP="00DB5708">
      <w:r>
        <w:t>Kierkegaard</w:t>
      </w:r>
      <w:r>
        <w:t xml:space="preserve">, </w:t>
      </w:r>
      <w:r w:rsidRPr="002832CC">
        <w:rPr>
          <w:i/>
        </w:rPr>
        <w:t>Concluding Unscientific Postscript</w:t>
      </w:r>
      <w:r>
        <w:rPr>
          <w:i/>
        </w:rPr>
        <w:t xml:space="preserve"> </w:t>
      </w:r>
      <w:r>
        <w:t>ISBN</w:t>
      </w:r>
      <w:r w:rsidRPr="002832CC">
        <w:t>: 978-0691020815</w:t>
      </w:r>
    </w:p>
    <w:p w:rsidR="00DB5708" w:rsidRDefault="00DB5708" w:rsidP="00DB5708"/>
    <w:p w:rsidR="00DB5708" w:rsidRDefault="00DB5708" w:rsidP="00DB5708">
      <w:r>
        <w:rPr>
          <w:b/>
          <w:bCs/>
        </w:rPr>
        <w:t>Requirements</w:t>
      </w:r>
    </w:p>
    <w:p w:rsidR="00DB5708" w:rsidRDefault="004444E9" w:rsidP="00DB5708">
      <w:r>
        <w:t>1 research paper worth 50% of your grade</w:t>
      </w:r>
    </w:p>
    <w:p w:rsidR="00DB5708" w:rsidRDefault="004444E9" w:rsidP="00DB5708">
      <w:r>
        <w:t>1 short paper worth 20% of your grade.</w:t>
      </w:r>
    </w:p>
    <w:p w:rsidR="004444E9" w:rsidRDefault="004444E9" w:rsidP="00DB5708">
      <w:r>
        <w:t>1 presentation worth 20% of your grade.</w:t>
      </w:r>
    </w:p>
    <w:p w:rsidR="00DB5708" w:rsidRDefault="00DB5708" w:rsidP="00DB5708">
      <w:r>
        <w:t>Participation is worth 10</w:t>
      </w:r>
      <w:r w:rsidR="000E0576">
        <w:t>%</w:t>
      </w:r>
      <w:r>
        <w:t xml:space="preserve"> of your grade</w:t>
      </w:r>
      <w:r w:rsidR="004444E9">
        <w:t>.</w:t>
      </w:r>
    </w:p>
    <w:p w:rsidR="00DB5708" w:rsidRDefault="00DB5708" w:rsidP="00DB5708"/>
    <w:p w:rsidR="00DB5708" w:rsidRDefault="00DB5708" w:rsidP="00DB5708">
      <w:r>
        <w:rPr>
          <w:b/>
          <w:bCs/>
        </w:rPr>
        <w:t>Grading Scale</w:t>
      </w:r>
    </w:p>
    <w:p w:rsidR="00DB5708" w:rsidRDefault="00DB5708" w:rsidP="00DB5708">
      <w:r>
        <w:t>100-90=A, 89-80=B, 79-70=C, 69-60=D, 59 and below=F</w:t>
      </w:r>
    </w:p>
    <w:p w:rsidR="00DB5708" w:rsidRDefault="00DB5708" w:rsidP="00DB5708"/>
    <w:p w:rsidR="00DB5708" w:rsidRDefault="00DB5708" w:rsidP="00DB5708">
      <w:r>
        <w:rPr>
          <w:b/>
          <w:bCs/>
        </w:rPr>
        <w:t>Policy on Late Work</w:t>
      </w:r>
    </w:p>
    <w:p w:rsidR="00DB5708" w:rsidRDefault="00DB5708" w:rsidP="00DB5708">
      <w:r>
        <w:t>I do not accept late work for any credit whatsoever.</w:t>
      </w:r>
      <w:r w:rsidR="000E0576">
        <w:t xml:space="preserve"> </w:t>
      </w:r>
      <w:proofErr w:type="gramStart"/>
      <w:r w:rsidR="000E0576">
        <w:t>As a general rule</w:t>
      </w:r>
      <w:proofErr w:type="gramEnd"/>
      <w:r w:rsidR="000E0576">
        <w:t xml:space="preserve"> of thumb, the old adage “It’s easier to ask for forgiveness than to get permission” is never going to be true in my classes. If you can for</w:t>
      </w:r>
      <w:r w:rsidR="00D228F5">
        <w:t>e</w:t>
      </w:r>
      <w:r w:rsidR="000E0576">
        <w:t>see a difficulty</w:t>
      </w:r>
      <w:r w:rsidR="00D228F5">
        <w:t xml:space="preserve">, let me know and we can work something out. If you come to me after the fact, I am likely to be much less amenable. </w:t>
      </w:r>
    </w:p>
    <w:p w:rsidR="00DB5708" w:rsidRDefault="00DB5708" w:rsidP="00DB5708"/>
    <w:p w:rsidR="00DB5708" w:rsidRDefault="00DB5708" w:rsidP="00DB5708">
      <w:r>
        <w:rPr>
          <w:b/>
          <w:bCs/>
        </w:rPr>
        <w:t>Academic Dishonesty</w:t>
      </w:r>
    </w:p>
    <w:p w:rsidR="00DB5708" w:rsidRDefault="00DB5708" w:rsidP="00DB5708">
      <w:r>
        <w:t xml:space="preserve">Academic dishonesty will not be tolerated, and any assignment or exam on which cheating </w:t>
      </w:r>
      <w:r w:rsidR="00D228F5">
        <w:t xml:space="preserve">or plagiarism </w:t>
      </w:r>
      <w:r>
        <w:t>occurred will be minimally given an F, maximally you will get an F for the course</w:t>
      </w:r>
      <w:r w:rsidR="00D228F5">
        <w:t xml:space="preserve"> and reported to the university</w:t>
      </w:r>
      <w:r>
        <w:t>.</w:t>
      </w:r>
      <w:r w:rsidR="00D228F5">
        <w:t xml:space="preserve"> Ignorance of what counts as plagiarism is not an excuse.</w:t>
      </w:r>
      <w:r>
        <w:t xml:space="preserve"> If you are unsure as to what counts as cheating, dishonesty, or plagiarism you may consult the Student Policy Manual at http://www.ccc.edu/menu/Documents/studentpolicymanual.pdf</w:t>
      </w:r>
    </w:p>
    <w:p w:rsidR="00DB5708" w:rsidRDefault="00DB5708" w:rsidP="00DB5708"/>
    <w:p w:rsidR="00DB5708" w:rsidRDefault="00DB5708" w:rsidP="00DB5708">
      <w:r>
        <w:rPr>
          <w:b/>
          <w:bCs/>
        </w:rPr>
        <w:t>Special Needs</w:t>
      </w:r>
    </w:p>
    <w:p w:rsidR="00DB5708" w:rsidRDefault="00DB5708" w:rsidP="00DB5708">
      <w:r>
        <w:t>I encourage students with disabilities, including non-visible disabilities such as chronic diseases, learning disabilities, head injuries and ADD/ADHD, to discuss with me, after class or by email, appropriate accommodations that might be helpful.</w:t>
      </w:r>
      <w:r w:rsidR="00D228F5">
        <w:t xml:space="preserve"> Students with documented disabilities should visit the Disability Access Center who can then provide me the proper accommodation guidelines.</w:t>
      </w:r>
    </w:p>
    <w:p w:rsidR="00DB5708" w:rsidRDefault="00DB5708" w:rsidP="00DB5708"/>
    <w:p w:rsidR="00DB5708" w:rsidRDefault="00DB5708" w:rsidP="00DB5708">
      <w:r>
        <w:rPr>
          <w:b/>
          <w:bCs/>
        </w:rPr>
        <w:t>Assignments</w:t>
      </w:r>
    </w:p>
    <w:p w:rsidR="00DB5708" w:rsidRDefault="004444E9" w:rsidP="00DB5708">
      <w:r>
        <w:t xml:space="preserve">Students have two papers to write throughout the semester as well as a presentation to give. The first paper will be a shorter paper </w:t>
      </w:r>
      <w:r w:rsidR="009F26E1">
        <w:t>3-4</w:t>
      </w:r>
      <w:r>
        <w:t xml:space="preserve"> pages in length</w:t>
      </w:r>
      <w:r w:rsidR="009F26E1">
        <w:t>, Times New Roman, 12-point font, 1-inch margins,</w:t>
      </w:r>
      <w:r>
        <w:t xml:space="preserve"> that will focus on a short section from our readings. Students will sign up for </w:t>
      </w:r>
      <w:r w:rsidR="009F26E1">
        <w:t>different sections from the readings and the papers will be due on the day that we cover those sections. Thus</w:t>
      </w:r>
      <w:r w:rsidR="00614E18">
        <w:t>,</w:t>
      </w:r>
      <w:r w:rsidR="009F26E1">
        <w:t xml:space="preserve"> everyone will have different topics for these papers, and the topics are open to students </w:t>
      </w:r>
      <w:proofErr w:type="gramStart"/>
      <w:r w:rsidR="009F26E1">
        <w:t>as long as</w:t>
      </w:r>
      <w:proofErr w:type="gramEnd"/>
      <w:r w:rsidR="009F26E1">
        <w:t xml:space="preserve"> they relate to the reading that they signed up for. Students will also have to prepare a presentation that will be due on the same day that their paper is due. These presentations should be on the same topic as their papers and will be 5-10 minutes in length plus some time for questions. After the first few weeks, each class period will begin with these presentations. The second paper will be a longer </w:t>
      </w:r>
      <w:proofErr w:type="gramStart"/>
      <w:r w:rsidR="009F26E1">
        <w:t>8-10 page</w:t>
      </w:r>
      <w:proofErr w:type="gramEnd"/>
      <w:r w:rsidR="009F26E1">
        <w:t xml:space="preserve"> paper due at the end of the semester. These papers will be on the topic of the students choosing, though all students will be required to receive approval for their topic. </w:t>
      </w:r>
      <w:r w:rsidR="00614E18">
        <w:t xml:space="preserve">These papers should engage the primary texts, but should also bring secondary sources to bear on the topic. </w:t>
      </w:r>
    </w:p>
    <w:p w:rsidR="004444E9" w:rsidRDefault="004444E9" w:rsidP="00DB5708"/>
    <w:p w:rsidR="00DB5708" w:rsidRDefault="00DB5708" w:rsidP="00DB5708">
      <w:r>
        <w:rPr>
          <w:b/>
          <w:bCs/>
        </w:rPr>
        <w:t>Participation</w:t>
      </w:r>
    </w:p>
    <w:p w:rsidR="00DB5708" w:rsidRDefault="00DB5708" w:rsidP="00DB5708">
      <w:r>
        <w:t xml:space="preserve">In class we will often have discussion over the ideas that are presented in our readings. Participation in this discussion is part of your grade. However, I realize that not all students are comfortable presenting their own thoughts in class. </w:t>
      </w:r>
      <w:r w:rsidR="00842E4F">
        <w:t xml:space="preserve">To that end, any form of participation that I can access will count towards this. For instance, emailing me with questions related to the readings (and not just questions about assignments), stopping by my office hours to chat, talking to me before or after class, </w:t>
      </w:r>
      <w:proofErr w:type="spellStart"/>
      <w:r w:rsidR="00842E4F">
        <w:t>etc</w:t>
      </w:r>
      <w:proofErr w:type="spellEnd"/>
      <w:r w:rsidR="00842E4F">
        <w:t>, will all count towards your participation grade. Amongst all participation</w:t>
      </w:r>
      <w:r>
        <w:t xml:space="preserve"> you are to respect your classmates. You will most likely disagree with others on different topics, and I encourage you to voice your disagreement. However, you must always be respectful of others. No disrespectful or hateful language will be tolerated.</w:t>
      </w:r>
    </w:p>
    <w:p w:rsidR="00DB5708" w:rsidRDefault="00DB5708" w:rsidP="00DB5708"/>
    <w:p w:rsidR="00DB5708" w:rsidRDefault="00DB5708" w:rsidP="00DB5708">
      <w:r>
        <w:rPr>
          <w:b/>
          <w:bCs/>
        </w:rPr>
        <w:t>Tardiness and Attendance</w:t>
      </w:r>
    </w:p>
    <w:p w:rsidR="00DB5708" w:rsidRDefault="00DB5708" w:rsidP="00DB5708">
      <w:r>
        <w:t xml:space="preserve">I do not have an attendance policy for this class. Sometimes students are unable to attend class due to other obligations and I understand that. Students are always responsible for </w:t>
      </w:r>
      <w:proofErr w:type="gramStart"/>
      <w:r>
        <w:t>all of</w:t>
      </w:r>
      <w:proofErr w:type="gramEnd"/>
      <w:r>
        <w:t xml:space="preserve"> the material that was covered in class, regardless of attendance record. However, if a student is excessively late to class and disruptive in doing so on multiple occasions, I will withdraw the </w:t>
      </w:r>
      <w:r>
        <w:lastRenderedPageBreak/>
        <w:t xml:space="preserve">student from the class. An example of this kind of behavior would be showing up to class 30 minutes late and proceeding to ask questions about the material that was covered in the first 30 minutes. This kind of behavior is disruptive to the class and harmful to the learning environment of the other students. </w:t>
      </w:r>
    </w:p>
    <w:p w:rsidR="00DB5708" w:rsidRDefault="00DB5708" w:rsidP="00DB5708"/>
    <w:p w:rsidR="00DB5708" w:rsidRDefault="00DB5708" w:rsidP="00DB5708">
      <w:r>
        <w:rPr>
          <w:b/>
          <w:bCs/>
        </w:rPr>
        <w:t>Electronic Devices</w:t>
      </w:r>
    </w:p>
    <w:p w:rsidR="00DB5708" w:rsidRDefault="00DB5708" w:rsidP="00DB5708">
      <w:r>
        <w:t xml:space="preserve">The use of cell phones is prohibited in the classroom. The use of laptops is also prohibited unless </w:t>
      </w:r>
      <w:r w:rsidR="00D94EF6">
        <w:t>there is some important reason</w:t>
      </w:r>
      <w:r>
        <w:t xml:space="preserve"> that requires such use and all such situations must be discussed</w:t>
      </w:r>
      <w:r w:rsidR="00D94EF6">
        <w:t xml:space="preserve"> with me first.</w:t>
      </w:r>
    </w:p>
    <w:p w:rsidR="00842E4F" w:rsidRDefault="00842E4F" w:rsidP="00DB5708"/>
    <w:p w:rsidR="00DB5708" w:rsidRDefault="00DB5708">
      <w:r>
        <w:rPr>
          <w:b/>
          <w:bCs/>
        </w:rPr>
        <w:t>Schedule</w:t>
      </w:r>
    </w:p>
    <w:p w:rsidR="00065858" w:rsidRDefault="00065858"/>
    <w:tbl>
      <w:tblPr>
        <w:tblStyle w:val="TableGrid"/>
        <w:tblW w:w="0" w:type="auto"/>
        <w:tblLook w:val="04A0" w:firstRow="1" w:lastRow="0" w:firstColumn="1" w:lastColumn="0" w:noHBand="0" w:noVBand="1"/>
      </w:tblPr>
      <w:tblGrid>
        <w:gridCol w:w="2705"/>
        <w:gridCol w:w="2705"/>
        <w:gridCol w:w="2706"/>
      </w:tblGrid>
      <w:tr w:rsidR="00065858" w:rsidTr="00860247">
        <w:trPr>
          <w:trHeight w:val="281"/>
        </w:trPr>
        <w:tc>
          <w:tcPr>
            <w:tcW w:w="2705" w:type="dxa"/>
          </w:tcPr>
          <w:p w:rsidR="00065858" w:rsidRDefault="00065858">
            <w:r>
              <w:t>Date</w:t>
            </w:r>
          </w:p>
        </w:tc>
        <w:tc>
          <w:tcPr>
            <w:tcW w:w="2705" w:type="dxa"/>
          </w:tcPr>
          <w:p w:rsidR="00065858" w:rsidRDefault="00065858">
            <w:r>
              <w:t>Topic</w:t>
            </w:r>
          </w:p>
        </w:tc>
        <w:tc>
          <w:tcPr>
            <w:tcW w:w="2706" w:type="dxa"/>
          </w:tcPr>
          <w:p w:rsidR="00065858" w:rsidRDefault="00065858">
            <w:r>
              <w:t>Reading</w:t>
            </w:r>
          </w:p>
        </w:tc>
      </w:tr>
      <w:tr w:rsidR="00065858" w:rsidTr="00860247">
        <w:trPr>
          <w:trHeight w:val="281"/>
        </w:trPr>
        <w:tc>
          <w:tcPr>
            <w:tcW w:w="2705" w:type="dxa"/>
          </w:tcPr>
          <w:p w:rsidR="00065858" w:rsidRDefault="00065858">
            <w:r>
              <w:t>August 29</w:t>
            </w:r>
          </w:p>
        </w:tc>
        <w:tc>
          <w:tcPr>
            <w:tcW w:w="2705" w:type="dxa"/>
          </w:tcPr>
          <w:p w:rsidR="00065858" w:rsidRDefault="00860247">
            <w:r>
              <w:t>Introduction</w:t>
            </w:r>
          </w:p>
        </w:tc>
        <w:tc>
          <w:tcPr>
            <w:tcW w:w="2706" w:type="dxa"/>
          </w:tcPr>
          <w:p w:rsidR="00065858" w:rsidRDefault="00065858"/>
        </w:tc>
      </w:tr>
      <w:tr w:rsidR="00065858" w:rsidTr="00860247">
        <w:trPr>
          <w:trHeight w:val="281"/>
        </w:trPr>
        <w:tc>
          <w:tcPr>
            <w:tcW w:w="2705" w:type="dxa"/>
          </w:tcPr>
          <w:p w:rsidR="00065858" w:rsidRDefault="00065858">
            <w:r>
              <w:t>August 31</w:t>
            </w:r>
          </w:p>
        </w:tc>
        <w:tc>
          <w:tcPr>
            <w:tcW w:w="2705" w:type="dxa"/>
          </w:tcPr>
          <w:p w:rsidR="00065858" w:rsidRDefault="00A260AB">
            <w:r>
              <w:t>Kierkegaard’s Goals</w:t>
            </w:r>
          </w:p>
        </w:tc>
        <w:tc>
          <w:tcPr>
            <w:tcW w:w="2706" w:type="dxa"/>
          </w:tcPr>
          <w:p w:rsidR="00065858" w:rsidRDefault="00A260AB">
            <w:r>
              <w:t>Point of View PDF</w:t>
            </w:r>
          </w:p>
        </w:tc>
      </w:tr>
      <w:tr w:rsidR="00065858" w:rsidTr="00860247">
        <w:trPr>
          <w:trHeight w:val="281"/>
        </w:trPr>
        <w:tc>
          <w:tcPr>
            <w:tcW w:w="2705" w:type="dxa"/>
          </w:tcPr>
          <w:p w:rsidR="00065858" w:rsidRDefault="00065858">
            <w:r>
              <w:t>Sept 5</w:t>
            </w:r>
          </w:p>
        </w:tc>
        <w:tc>
          <w:tcPr>
            <w:tcW w:w="2705" w:type="dxa"/>
          </w:tcPr>
          <w:p w:rsidR="00065858" w:rsidRDefault="00171A28">
            <w:r>
              <w:t>The A</w:t>
            </w:r>
            <w:r w:rsidR="00A260AB">
              <w:t>esthetic</w:t>
            </w:r>
          </w:p>
        </w:tc>
        <w:tc>
          <w:tcPr>
            <w:tcW w:w="2706" w:type="dxa"/>
          </w:tcPr>
          <w:p w:rsidR="00065858" w:rsidRDefault="00A260AB">
            <w:r>
              <w:t xml:space="preserve">Either/Or </w:t>
            </w:r>
            <w:r w:rsidR="000B3B2F">
              <w:t>–</w:t>
            </w:r>
            <w:r>
              <w:t xml:space="preserve"> </w:t>
            </w:r>
            <w:r w:rsidR="000B3B2F">
              <w:t>19-43</w:t>
            </w:r>
          </w:p>
        </w:tc>
      </w:tr>
      <w:tr w:rsidR="00065858" w:rsidTr="00860247">
        <w:trPr>
          <w:trHeight w:val="281"/>
        </w:trPr>
        <w:tc>
          <w:tcPr>
            <w:tcW w:w="2705" w:type="dxa"/>
          </w:tcPr>
          <w:p w:rsidR="00065858" w:rsidRDefault="00065858">
            <w:r>
              <w:t>Sept 7</w:t>
            </w:r>
          </w:p>
        </w:tc>
        <w:tc>
          <w:tcPr>
            <w:tcW w:w="2705" w:type="dxa"/>
          </w:tcPr>
          <w:p w:rsidR="00065858" w:rsidRDefault="00065858"/>
        </w:tc>
        <w:tc>
          <w:tcPr>
            <w:tcW w:w="2706" w:type="dxa"/>
          </w:tcPr>
          <w:p w:rsidR="00065858" w:rsidRDefault="00A260AB">
            <w:r>
              <w:t xml:space="preserve">Either/Or </w:t>
            </w:r>
            <w:r w:rsidRPr="000B3B2F">
              <w:t>– 47-75</w:t>
            </w:r>
          </w:p>
        </w:tc>
      </w:tr>
      <w:tr w:rsidR="00065858" w:rsidTr="00860247">
        <w:trPr>
          <w:trHeight w:val="281"/>
        </w:trPr>
        <w:tc>
          <w:tcPr>
            <w:tcW w:w="2705" w:type="dxa"/>
          </w:tcPr>
          <w:p w:rsidR="00065858" w:rsidRDefault="00065858">
            <w:r>
              <w:t>Sept 12</w:t>
            </w:r>
          </w:p>
        </w:tc>
        <w:tc>
          <w:tcPr>
            <w:tcW w:w="2705" w:type="dxa"/>
          </w:tcPr>
          <w:p w:rsidR="00065858" w:rsidRDefault="00065858"/>
        </w:tc>
        <w:tc>
          <w:tcPr>
            <w:tcW w:w="2706" w:type="dxa"/>
          </w:tcPr>
          <w:p w:rsidR="00065858" w:rsidRDefault="000B3B2F">
            <w:r>
              <w:t xml:space="preserve">Either/Or – </w:t>
            </w:r>
            <w:r>
              <w:t>139-164</w:t>
            </w:r>
          </w:p>
        </w:tc>
      </w:tr>
      <w:tr w:rsidR="00065858" w:rsidTr="00860247">
        <w:trPr>
          <w:trHeight w:val="281"/>
        </w:trPr>
        <w:tc>
          <w:tcPr>
            <w:tcW w:w="2705" w:type="dxa"/>
          </w:tcPr>
          <w:p w:rsidR="00065858" w:rsidRDefault="00065858">
            <w:r>
              <w:t>Sept 14</w:t>
            </w:r>
          </w:p>
        </w:tc>
        <w:tc>
          <w:tcPr>
            <w:tcW w:w="2705" w:type="dxa"/>
          </w:tcPr>
          <w:p w:rsidR="00065858" w:rsidRDefault="000B3B2F">
            <w:r>
              <w:t>Happiness</w:t>
            </w:r>
            <w:r w:rsidR="00171A28">
              <w:t xml:space="preserve"> for the A</w:t>
            </w:r>
            <w:r>
              <w:t>esthete</w:t>
            </w:r>
          </w:p>
        </w:tc>
        <w:tc>
          <w:tcPr>
            <w:tcW w:w="2706" w:type="dxa"/>
          </w:tcPr>
          <w:p w:rsidR="00065858" w:rsidRDefault="000B3B2F">
            <w:r>
              <w:t xml:space="preserve">Either/Or – </w:t>
            </w:r>
            <w:r>
              <w:t>219-230</w:t>
            </w:r>
          </w:p>
        </w:tc>
      </w:tr>
      <w:tr w:rsidR="00065858" w:rsidTr="00860247">
        <w:trPr>
          <w:trHeight w:val="296"/>
        </w:trPr>
        <w:tc>
          <w:tcPr>
            <w:tcW w:w="2705" w:type="dxa"/>
          </w:tcPr>
          <w:p w:rsidR="00065858" w:rsidRDefault="00065858">
            <w:r>
              <w:t>Sept 19</w:t>
            </w:r>
          </w:p>
        </w:tc>
        <w:tc>
          <w:tcPr>
            <w:tcW w:w="2705" w:type="dxa"/>
          </w:tcPr>
          <w:p w:rsidR="00065858" w:rsidRDefault="000B3B2F">
            <w:r>
              <w:t>Boredom</w:t>
            </w:r>
          </w:p>
        </w:tc>
        <w:tc>
          <w:tcPr>
            <w:tcW w:w="2706" w:type="dxa"/>
          </w:tcPr>
          <w:p w:rsidR="00065858" w:rsidRDefault="000B3B2F">
            <w:r>
              <w:t>Either/Or –</w:t>
            </w:r>
            <w:r>
              <w:t xml:space="preserve"> 285-300</w:t>
            </w:r>
          </w:p>
        </w:tc>
      </w:tr>
      <w:tr w:rsidR="00065858" w:rsidTr="00860247">
        <w:trPr>
          <w:trHeight w:val="281"/>
        </w:trPr>
        <w:tc>
          <w:tcPr>
            <w:tcW w:w="2705" w:type="dxa"/>
          </w:tcPr>
          <w:p w:rsidR="00065858" w:rsidRDefault="00065858">
            <w:r>
              <w:t>Sept 21</w:t>
            </w:r>
          </w:p>
        </w:tc>
        <w:tc>
          <w:tcPr>
            <w:tcW w:w="2705" w:type="dxa"/>
          </w:tcPr>
          <w:p w:rsidR="00065858" w:rsidRDefault="00171A28">
            <w:r>
              <w:t>The Ethical</w:t>
            </w:r>
          </w:p>
        </w:tc>
        <w:tc>
          <w:tcPr>
            <w:tcW w:w="2706" w:type="dxa"/>
          </w:tcPr>
          <w:p w:rsidR="00065858" w:rsidRDefault="00171A28">
            <w:r>
              <w:t>Either/Or part 2 PDF</w:t>
            </w:r>
          </w:p>
        </w:tc>
      </w:tr>
      <w:tr w:rsidR="00065858" w:rsidTr="00860247">
        <w:trPr>
          <w:trHeight w:val="281"/>
        </w:trPr>
        <w:tc>
          <w:tcPr>
            <w:tcW w:w="2705" w:type="dxa"/>
          </w:tcPr>
          <w:p w:rsidR="00065858" w:rsidRDefault="00065858">
            <w:r>
              <w:t>Sept 26</w:t>
            </w:r>
          </w:p>
        </w:tc>
        <w:tc>
          <w:tcPr>
            <w:tcW w:w="2705" w:type="dxa"/>
          </w:tcPr>
          <w:p w:rsidR="00065858" w:rsidRDefault="00171A28">
            <w:r>
              <w:t>Abraham’s Struggle</w:t>
            </w:r>
          </w:p>
        </w:tc>
        <w:tc>
          <w:tcPr>
            <w:tcW w:w="2706" w:type="dxa"/>
          </w:tcPr>
          <w:p w:rsidR="00065858" w:rsidRDefault="00171A28">
            <w:r>
              <w:t>Fear and Trembling – 5-23</w:t>
            </w:r>
          </w:p>
        </w:tc>
      </w:tr>
      <w:tr w:rsidR="00065858" w:rsidTr="00860247">
        <w:trPr>
          <w:trHeight w:val="281"/>
        </w:trPr>
        <w:tc>
          <w:tcPr>
            <w:tcW w:w="2705" w:type="dxa"/>
          </w:tcPr>
          <w:p w:rsidR="00065858" w:rsidRDefault="00065858">
            <w:r>
              <w:t>Sept 28</w:t>
            </w:r>
          </w:p>
        </w:tc>
        <w:tc>
          <w:tcPr>
            <w:tcW w:w="2705" w:type="dxa"/>
          </w:tcPr>
          <w:p w:rsidR="00065858" w:rsidRDefault="00C53794">
            <w:r>
              <w:t>Tragic Hero and Knight of Resignation</w:t>
            </w:r>
          </w:p>
        </w:tc>
        <w:tc>
          <w:tcPr>
            <w:tcW w:w="2706" w:type="dxa"/>
          </w:tcPr>
          <w:p w:rsidR="00065858" w:rsidRDefault="00171A28">
            <w:r>
              <w:t>Fear and Trembling –</w:t>
            </w:r>
            <w:r>
              <w:t xml:space="preserve"> 27-46</w:t>
            </w:r>
          </w:p>
        </w:tc>
      </w:tr>
      <w:tr w:rsidR="00065858" w:rsidTr="00860247">
        <w:trPr>
          <w:trHeight w:val="281"/>
        </w:trPr>
        <w:tc>
          <w:tcPr>
            <w:tcW w:w="2705" w:type="dxa"/>
          </w:tcPr>
          <w:p w:rsidR="00065858" w:rsidRDefault="00065858">
            <w:r>
              <w:t>Oct 3</w:t>
            </w:r>
          </w:p>
        </w:tc>
        <w:tc>
          <w:tcPr>
            <w:tcW w:w="2705" w:type="dxa"/>
          </w:tcPr>
          <w:p w:rsidR="00065858" w:rsidRDefault="00C53794">
            <w:r>
              <w:t>Knight of Faith</w:t>
            </w:r>
          </w:p>
        </w:tc>
        <w:tc>
          <w:tcPr>
            <w:tcW w:w="2706" w:type="dxa"/>
          </w:tcPr>
          <w:p w:rsidR="00065858" w:rsidRDefault="00171A28">
            <w:r>
              <w:t>Fear and Trembling –</w:t>
            </w:r>
            <w:r>
              <w:t xml:space="preserve"> 47-53</w:t>
            </w:r>
          </w:p>
        </w:tc>
      </w:tr>
      <w:tr w:rsidR="00065858" w:rsidTr="00860247">
        <w:trPr>
          <w:trHeight w:val="281"/>
        </w:trPr>
        <w:tc>
          <w:tcPr>
            <w:tcW w:w="2705" w:type="dxa"/>
          </w:tcPr>
          <w:p w:rsidR="00065858" w:rsidRDefault="00065858">
            <w:r>
              <w:t>Oct 5</w:t>
            </w:r>
          </w:p>
        </w:tc>
        <w:tc>
          <w:tcPr>
            <w:tcW w:w="2705" w:type="dxa"/>
          </w:tcPr>
          <w:p w:rsidR="00065858" w:rsidRDefault="00C53794">
            <w:r>
              <w:t>Teleological Suspension of the Ethical</w:t>
            </w:r>
          </w:p>
        </w:tc>
        <w:tc>
          <w:tcPr>
            <w:tcW w:w="2706" w:type="dxa"/>
          </w:tcPr>
          <w:p w:rsidR="00065858" w:rsidRDefault="00C53794">
            <w:r>
              <w:t>Fear and Trembling –</w:t>
            </w:r>
            <w:r>
              <w:t xml:space="preserve"> 54-67</w:t>
            </w:r>
          </w:p>
        </w:tc>
      </w:tr>
      <w:tr w:rsidR="00065858" w:rsidTr="00860247">
        <w:trPr>
          <w:trHeight w:val="281"/>
        </w:trPr>
        <w:tc>
          <w:tcPr>
            <w:tcW w:w="2705" w:type="dxa"/>
          </w:tcPr>
          <w:p w:rsidR="00065858" w:rsidRDefault="00065858">
            <w:r>
              <w:t>Oct 10</w:t>
            </w:r>
          </w:p>
        </w:tc>
        <w:tc>
          <w:tcPr>
            <w:tcW w:w="2705" w:type="dxa"/>
          </w:tcPr>
          <w:p w:rsidR="00065858" w:rsidRDefault="00C53794">
            <w:r>
              <w:t>What is our duty to God?</w:t>
            </w:r>
          </w:p>
        </w:tc>
        <w:tc>
          <w:tcPr>
            <w:tcW w:w="2706" w:type="dxa"/>
          </w:tcPr>
          <w:p w:rsidR="00065858" w:rsidRDefault="00C53794">
            <w:r>
              <w:t>Fear and Trembling –</w:t>
            </w:r>
            <w:r>
              <w:t xml:space="preserve"> 68-81</w:t>
            </w:r>
          </w:p>
        </w:tc>
      </w:tr>
      <w:tr w:rsidR="00065858" w:rsidTr="00860247">
        <w:trPr>
          <w:trHeight w:val="281"/>
        </w:trPr>
        <w:tc>
          <w:tcPr>
            <w:tcW w:w="2705" w:type="dxa"/>
          </w:tcPr>
          <w:p w:rsidR="00065858" w:rsidRDefault="00065858">
            <w:r>
              <w:t>Oct 12</w:t>
            </w:r>
          </w:p>
        </w:tc>
        <w:tc>
          <w:tcPr>
            <w:tcW w:w="2705" w:type="dxa"/>
          </w:tcPr>
          <w:p w:rsidR="00065858" w:rsidRDefault="00C53794">
            <w:r>
              <w:t>Silence, Agnes, and Faith</w:t>
            </w:r>
          </w:p>
        </w:tc>
        <w:tc>
          <w:tcPr>
            <w:tcW w:w="2706" w:type="dxa"/>
          </w:tcPr>
          <w:p w:rsidR="00065858" w:rsidRDefault="00C53794">
            <w:r>
              <w:t>Fear and Trembling –</w:t>
            </w:r>
            <w:r>
              <w:t xml:space="preserve"> 82-99</w:t>
            </w:r>
          </w:p>
        </w:tc>
      </w:tr>
      <w:tr w:rsidR="00065858" w:rsidTr="00860247">
        <w:trPr>
          <w:trHeight w:val="281"/>
        </w:trPr>
        <w:tc>
          <w:tcPr>
            <w:tcW w:w="2705" w:type="dxa"/>
          </w:tcPr>
          <w:p w:rsidR="00065858" w:rsidRDefault="00065858">
            <w:r>
              <w:t>Oct 17</w:t>
            </w:r>
          </w:p>
        </w:tc>
        <w:tc>
          <w:tcPr>
            <w:tcW w:w="2705" w:type="dxa"/>
          </w:tcPr>
          <w:p w:rsidR="00065858" w:rsidRDefault="00C53794">
            <w:r>
              <w:t>Can Truth be Learned?</w:t>
            </w:r>
          </w:p>
        </w:tc>
        <w:tc>
          <w:tcPr>
            <w:tcW w:w="2706" w:type="dxa"/>
          </w:tcPr>
          <w:p w:rsidR="00065858" w:rsidRDefault="00C53794">
            <w:r>
              <w:t>Philosophical Fragments – 5-13</w:t>
            </w:r>
          </w:p>
        </w:tc>
      </w:tr>
      <w:tr w:rsidR="00065858" w:rsidTr="00860247">
        <w:trPr>
          <w:trHeight w:val="281"/>
        </w:trPr>
        <w:tc>
          <w:tcPr>
            <w:tcW w:w="2705" w:type="dxa"/>
          </w:tcPr>
          <w:p w:rsidR="00065858" w:rsidRDefault="00065858">
            <w:r>
              <w:t>Oct 19</w:t>
            </w:r>
          </w:p>
        </w:tc>
        <w:tc>
          <w:tcPr>
            <w:tcW w:w="2705" w:type="dxa"/>
          </w:tcPr>
          <w:p w:rsidR="00065858" w:rsidRDefault="00F3294E">
            <w:r>
              <w:t>The Teacher</w:t>
            </w:r>
          </w:p>
        </w:tc>
        <w:tc>
          <w:tcPr>
            <w:tcW w:w="2706" w:type="dxa"/>
          </w:tcPr>
          <w:p w:rsidR="00065858" w:rsidRDefault="00C53794">
            <w:r>
              <w:t>Philosophical Fragments –</w:t>
            </w:r>
            <w:r w:rsidR="00F3294E">
              <w:t xml:space="preserve"> 13-18</w:t>
            </w:r>
          </w:p>
        </w:tc>
      </w:tr>
      <w:tr w:rsidR="00065858" w:rsidTr="00860247">
        <w:trPr>
          <w:trHeight w:val="281"/>
        </w:trPr>
        <w:tc>
          <w:tcPr>
            <w:tcW w:w="2705" w:type="dxa"/>
          </w:tcPr>
          <w:p w:rsidR="00065858" w:rsidRDefault="00065858">
            <w:r>
              <w:t>Oct 24</w:t>
            </w:r>
          </w:p>
        </w:tc>
        <w:tc>
          <w:tcPr>
            <w:tcW w:w="2705" w:type="dxa"/>
          </w:tcPr>
          <w:p w:rsidR="00065858" w:rsidRDefault="00F3294E">
            <w:r>
              <w:t>The Learner</w:t>
            </w:r>
          </w:p>
        </w:tc>
        <w:tc>
          <w:tcPr>
            <w:tcW w:w="2706" w:type="dxa"/>
          </w:tcPr>
          <w:p w:rsidR="00065858" w:rsidRDefault="00C53794">
            <w:r>
              <w:t>Philosophical Fragments –</w:t>
            </w:r>
            <w:r w:rsidR="00F3294E">
              <w:t xml:space="preserve"> 18-22</w:t>
            </w:r>
          </w:p>
        </w:tc>
      </w:tr>
      <w:tr w:rsidR="00065858" w:rsidTr="00860247">
        <w:trPr>
          <w:trHeight w:val="281"/>
        </w:trPr>
        <w:tc>
          <w:tcPr>
            <w:tcW w:w="2705" w:type="dxa"/>
          </w:tcPr>
          <w:p w:rsidR="00065858" w:rsidRDefault="00065858">
            <w:r>
              <w:t>Oct 26</w:t>
            </w:r>
          </w:p>
        </w:tc>
        <w:tc>
          <w:tcPr>
            <w:tcW w:w="2705" w:type="dxa"/>
          </w:tcPr>
          <w:p w:rsidR="00065858" w:rsidRDefault="00F3294E">
            <w:r>
              <w:t>The Occasion of Learning</w:t>
            </w:r>
          </w:p>
        </w:tc>
        <w:tc>
          <w:tcPr>
            <w:tcW w:w="2706" w:type="dxa"/>
          </w:tcPr>
          <w:p w:rsidR="00065858" w:rsidRDefault="00C53794">
            <w:r>
              <w:t>Philosophical Fragments –</w:t>
            </w:r>
            <w:r w:rsidR="00F3294E">
              <w:t xml:space="preserve"> 23-36</w:t>
            </w:r>
          </w:p>
        </w:tc>
      </w:tr>
      <w:tr w:rsidR="00065858" w:rsidTr="00860247">
        <w:trPr>
          <w:trHeight w:val="281"/>
        </w:trPr>
        <w:tc>
          <w:tcPr>
            <w:tcW w:w="2705" w:type="dxa"/>
          </w:tcPr>
          <w:p w:rsidR="00065858" w:rsidRDefault="00065858">
            <w:r>
              <w:t>Oct 31</w:t>
            </w:r>
          </w:p>
        </w:tc>
        <w:tc>
          <w:tcPr>
            <w:tcW w:w="2705" w:type="dxa"/>
          </w:tcPr>
          <w:p w:rsidR="00065858" w:rsidRDefault="00F3294E">
            <w:r>
              <w:t>The Paradox of Belief</w:t>
            </w:r>
          </w:p>
        </w:tc>
        <w:tc>
          <w:tcPr>
            <w:tcW w:w="2706" w:type="dxa"/>
          </w:tcPr>
          <w:p w:rsidR="00065858" w:rsidRDefault="00F3294E">
            <w:r>
              <w:t>Philosophical Fragments –</w:t>
            </w:r>
            <w:r>
              <w:t xml:space="preserve"> 37-48</w:t>
            </w:r>
          </w:p>
        </w:tc>
      </w:tr>
      <w:tr w:rsidR="00065858" w:rsidTr="00860247">
        <w:trPr>
          <w:trHeight w:val="281"/>
        </w:trPr>
        <w:tc>
          <w:tcPr>
            <w:tcW w:w="2705" w:type="dxa"/>
          </w:tcPr>
          <w:p w:rsidR="00065858" w:rsidRDefault="00065858">
            <w:r>
              <w:lastRenderedPageBreak/>
              <w:t>Nov 2</w:t>
            </w:r>
          </w:p>
        </w:tc>
        <w:tc>
          <w:tcPr>
            <w:tcW w:w="2705" w:type="dxa"/>
          </w:tcPr>
          <w:p w:rsidR="00065858" w:rsidRDefault="00804B46">
            <w:r>
              <w:t>Becoming a Follower of Truth</w:t>
            </w:r>
          </w:p>
        </w:tc>
        <w:tc>
          <w:tcPr>
            <w:tcW w:w="2706" w:type="dxa"/>
          </w:tcPr>
          <w:p w:rsidR="00065858" w:rsidRDefault="00F3294E">
            <w:r>
              <w:t>Philosophical Fragments –</w:t>
            </w:r>
            <w:r w:rsidR="00804B46">
              <w:t xml:space="preserve"> 55-71</w:t>
            </w:r>
          </w:p>
        </w:tc>
      </w:tr>
      <w:tr w:rsidR="00065858" w:rsidTr="00860247">
        <w:trPr>
          <w:trHeight w:val="281"/>
        </w:trPr>
        <w:tc>
          <w:tcPr>
            <w:tcW w:w="2705" w:type="dxa"/>
          </w:tcPr>
          <w:p w:rsidR="00065858" w:rsidRDefault="00065858">
            <w:r>
              <w:t>Nov 7</w:t>
            </w:r>
          </w:p>
        </w:tc>
        <w:tc>
          <w:tcPr>
            <w:tcW w:w="2705" w:type="dxa"/>
          </w:tcPr>
          <w:p w:rsidR="00065858" w:rsidRDefault="00804B46">
            <w:r>
              <w:t>Becoming</w:t>
            </w:r>
          </w:p>
        </w:tc>
        <w:tc>
          <w:tcPr>
            <w:tcW w:w="2706" w:type="dxa"/>
          </w:tcPr>
          <w:p w:rsidR="00065858" w:rsidRDefault="00804B46">
            <w:r>
              <w:t>Philosophical Fragments –</w:t>
            </w:r>
            <w:r>
              <w:t xml:space="preserve"> 72-88</w:t>
            </w:r>
          </w:p>
        </w:tc>
      </w:tr>
      <w:tr w:rsidR="00065858" w:rsidTr="00860247">
        <w:trPr>
          <w:trHeight w:val="281"/>
        </w:trPr>
        <w:tc>
          <w:tcPr>
            <w:tcW w:w="2705" w:type="dxa"/>
          </w:tcPr>
          <w:p w:rsidR="00065858" w:rsidRDefault="00065858">
            <w:r>
              <w:t>Nov 9</w:t>
            </w:r>
          </w:p>
        </w:tc>
        <w:tc>
          <w:tcPr>
            <w:tcW w:w="2705" w:type="dxa"/>
          </w:tcPr>
          <w:p w:rsidR="00065858" w:rsidRDefault="00804B46">
            <w:r>
              <w:t>Would Knowing Jesus help us Believe?</w:t>
            </w:r>
          </w:p>
        </w:tc>
        <w:tc>
          <w:tcPr>
            <w:tcW w:w="2706" w:type="dxa"/>
          </w:tcPr>
          <w:p w:rsidR="00065858" w:rsidRDefault="00804B46">
            <w:r>
              <w:t>Philosophical Fragments –</w:t>
            </w:r>
            <w:r>
              <w:t xml:space="preserve"> 89-110</w:t>
            </w:r>
          </w:p>
        </w:tc>
      </w:tr>
      <w:tr w:rsidR="00065858" w:rsidTr="00860247">
        <w:trPr>
          <w:trHeight w:val="296"/>
        </w:trPr>
        <w:tc>
          <w:tcPr>
            <w:tcW w:w="2705" w:type="dxa"/>
          </w:tcPr>
          <w:p w:rsidR="00065858" w:rsidRDefault="00140C98">
            <w:r>
              <w:t>Nov 14</w:t>
            </w:r>
          </w:p>
        </w:tc>
        <w:tc>
          <w:tcPr>
            <w:tcW w:w="2705" w:type="dxa"/>
          </w:tcPr>
          <w:p w:rsidR="00065858" w:rsidRDefault="00804B46">
            <w:r>
              <w:t>Objectivity and Christianity</w:t>
            </w:r>
          </w:p>
        </w:tc>
        <w:tc>
          <w:tcPr>
            <w:tcW w:w="2706" w:type="dxa"/>
          </w:tcPr>
          <w:p w:rsidR="00065858" w:rsidRDefault="00804B46">
            <w:r>
              <w:t>Postscript – 23-50</w:t>
            </w:r>
          </w:p>
        </w:tc>
      </w:tr>
      <w:tr w:rsidR="00065858" w:rsidTr="00860247">
        <w:trPr>
          <w:trHeight w:val="281"/>
        </w:trPr>
        <w:tc>
          <w:tcPr>
            <w:tcW w:w="2705" w:type="dxa"/>
          </w:tcPr>
          <w:p w:rsidR="00065858" w:rsidRDefault="00140C98">
            <w:r>
              <w:t>Nov 16</w:t>
            </w:r>
          </w:p>
        </w:tc>
        <w:tc>
          <w:tcPr>
            <w:tcW w:w="2705" w:type="dxa"/>
          </w:tcPr>
          <w:p w:rsidR="00065858" w:rsidRDefault="004F1326">
            <w:r>
              <w:t>Religious Communication</w:t>
            </w:r>
          </w:p>
        </w:tc>
        <w:tc>
          <w:tcPr>
            <w:tcW w:w="2706" w:type="dxa"/>
          </w:tcPr>
          <w:p w:rsidR="00065858" w:rsidRDefault="004F1326">
            <w:r>
              <w:t>Postscript –</w:t>
            </w:r>
            <w:r>
              <w:t xml:space="preserve"> 72-80</w:t>
            </w:r>
          </w:p>
        </w:tc>
      </w:tr>
      <w:tr w:rsidR="00065858" w:rsidTr="00860247">
        <w:trPr>
          <w:trHeight w:val="281"/>
        </w:trPr>
        <w:tc>
          <w:tcPr>
            <w:tcW w:w="2705" w:type="dxa"/>
          </w:tcPr>
          <w:p w:rsidR="00065858" w:rsidRDefault="00140C98">
            <w:r>
              <w:t>Nov 21</w:t>
            </w:r>
          </w:p>
        </w:tc>
        <w:tc>
          <w:tcPr>
            <w:tcW w:w="2705" w:type="dxa"/>
          </w:tcPr>
          <w:p w:rsidR="00065858" w:rsidRDefault="004F1326">
            <w:r>
              <w:t>The Leap</w:t>
            </w:r>
          </w:p>
        </w:tc>
        <w:tc>
          <w:tcPr>
            <w:tcW w:w="2706" w:type="dxa"/>
          </w:tcPr>
          <w:p w:rsidR="00065858" w:rsidRDefault="004F1326">
            <w:r>
              <w:t>Postscript –</w:t>
            </w:r>
            <w:r>
              <w:t xml:space="preserve"> 93-106</w:t>
            </w:r>
          </w:p>
        </w:tc>
      </w:tr>
      <w:tr w:rsidR="00065858" w:rsidTr="00860247">
        <w:trPr>
          <w:trHeight w:val="281"/>
        </w:trPr>
        <w:tc>
          <w:tcPr>
            <w:tcW w:w="2705" w:type="dxa"/>
          </w:tcPr>
          <w:p w:rsidR="00065858" w:rsidRDefault="00140C98">
            <w:r>
              <w:t>Nov 23</w:t>
            </w:r>
          </w:p>
        </w:tc>
        <w:tc>
          <w:tcPr>
            <w:tcW w:w="2705" w:type="dxa"/>
          </w:tcPr>
          <w:p w:rsidR="00065858" w:rsidRDefault="00860247">
            <w:r>
              <w:t>THANKSGIVING</w:t>
            </w:r>
          </w:p>
        </w:tc>
        <w:tc>
          <w:tcPr>
            <w:tcW w:w="2706" w:type="dxa"/>
          </w:tcPr>
          <w:p w:rsidR="00065858" w:rsidRDefault="00860247">
            <w:r>
              <w:t>THANKSGIVING</w:t>
            </w:r>
          </w:p>
        </w:tc>
      </w:tr>
      <w:tr w:rsidR="00065858" w:rsidTr="00860247">
        <w:trPr>
          <w:trHeight w:val="281"/>
        </w:trPr>
        <w:tc>
          <w:tcPr>
            <w:tcW w:w="2705" w:type="dxa"/>
          </w:tcPr>
          <w:p w:rsidR="00065858" w:rsidRDefault="00140C98">
            <w:r>
              <w:t>Nov 28</w:t>
            </w:r>
          </w:p>
        </w:tc>
        <w:tc>
          <w:tcPr>
            <w:tcW w:w="2705" w:type="dxa"/>
          </w:tcPr>
          <w:p w:rsidR="00065858" w:rsidRDefault="002635FF">
            <w:r>
              <w:t>Becoming Subjective</w:t>
            </w:r>
          </w:p>
        </w:tc>
        <w:tc>
          <w:tcPr>
            <w:tcW w:w="2706" w:type="dxa"/>
          </w:tcPr>
          <w:p w:rsidR="00065858" w:rsidRDefault="002635FF">
            <w:r>
              <w:t>Postscript –</w:t>
            </w:r>
            <w:r>
              <w:t xml:space="preserve"> 157-173</w:t>
            </w:r>
          </w:p>
        </w:tc>
      </w:tr>
      <w:tr w:rsidR="00065858" w:rsidTr="00860247">
        <w:trPr>
          <w:trHeight w:val="281"/>
        </w:trPr>
        <w:tc>
          <w:tcPr>
            <w:tcW w:w="2705" w:type="dxa"/>
          </w:tcPr>
          <w:p w:rsidR="00065858" w:rsidRDefault="00140C98">
            <w:r>
              <w:t>Nov 30</w:t>
            </w:r>
          </w:p>
        </w:tc>
        <w:tc>
          <w:tcPr>
            <w:tcW w:w="2705" w:type="dxa"/>
          </w:tcPr>
          <w:p w:rsidR="00065858" w:rsidRDefault="002635FF">
            <w:r>
              <w:t>Subjectivity is Truth</w:t>
            </w:r>
          </w:p>
        </w:tc>
        <w:tc>
          <w:tcPr>
            <w:tcW w:w="2706" w:type="dxa"/>
          </w:tcPr>
          <w:p w:rsidR="00065858" w:rsidRDefault="002635FF">
            <w:r>
              <w:t>Postscript –</w:t>
            </w:r>
            <w:r>
              <w:t xml:space="preserve"> 189-203</w:t>
            </w:r>
          </w:p>
        </w:tc>
      </w:tr>
      <w:tr w:rsidR="00065858" w:rsidTr="00860247">
        <w:trPr>
          <w:trHeight w:val="281"/>
        </w:trPr>
        <w:tc>
          <w:tcPr>
            <w:tcW w:w="2705" w:type="dxa"/>
          </w:tcPr>
          <w:p w:rsidR="00065858" w:rsidRDefault="00140C98">
            <w:r>
              <w:t>Dec 5</w:t>
            </w:r>
          </w:p>
        </w:tc>
        <w:tc>
          <w:tcPr>
            <w:tcW w:w="2705" w:type="dxa"/>
          </w:tcPr>
          <w:p w:rsidR="00065858" w:rsidRDefault="00065858"/>
        </w:tc>
        <w:tc>
          <w:tcPr>
            <w:tcW w:w="2706" w:type="dxa"/>
          </w:tcPr>
          <w:p w:rsidR="00065858" w:rsidRDefault="002635FF">
            <w:r>
              <w:t>Postscript –</w:t>
            </w:r>
            <w:r>
              <w:t xml:space="preserve"> 204-218</w:t>
            </w:r>
          </w:p>
        </w:tc>
      </w:tr>
      <w:tr w:rsidR="00065858" w:rsidTr="00860247">
        <w:trPr>
          <w:trHeight w:val="281"/>
        </w:trPr>
        <w:tc>
          <w:tcPr>
            <w:tcW w:w="2705" w:type="dxa"/>
          </w:tcPr>
          <w:p w:rsidR="00065858" w:rsidRDefault="00140C98">
            <w:r>
              <w:t>Dec 7</w:t>
            </w:r>
          </w:p>
        </w:tc>
        <w:tc>
          <w:tcPr>
            <w:tcW w:w="2705" w:type="dxa"/>
          </w:tcPr>
          <w:p w:rsidR="00065858" w:rsidRDefault="001F19FF">
            <w:r>
              <w:t>Religiousness A</w:t>
            </w:r>
          </w:p>
        </w:tc>
        <w:tc>
          <w:tcPr>
            <w:tcW w:w="2706" w:type="dxa"/>
          </w:tcPr>
          <w:p w:rsidR="00065858" w:rsidRDefault="001F19FF">
            <w:r>
              <w:t>Postscript –</w:t>
            </w:r>
            <w:r>
              <w:t xml:space="preserve"> 361-384</w:t>
            </w:r>
          </w:p>
        </w:tc>
      </w:tr>
      <w:tr w:rsidR="00140C98" w:rsidTr="00860247">
        <w:trPr>
          <w:trHeight w:val="281"/>
        </w:trPr>
        <w:tc>
          <w:tcPr>
            <w:tcW w:w="2705" w:type="dxa"/>
          </w:tcPr>
          <w:p w:rsidR="00140C98" w:rsidRDefault="00140C98">
            <w:r>
              <w:t>Dec 12</w:t>
            </w:r>
          </w:p>
        </w:tc>
        <w:tc>
          <w:tcPr>
            <w:tcW w:w="2705" w:type="dxa"/>
          </w:tcPr>
          <w:p w:rsidR="00140C98" w:rsidRDefault="001F19FF">
            <w:r>
              <w:t>Religiousness B</w:t>
            </w:r>
          </w:p>
        </w:tc>
        <w:tc>
          <w:tcPr>
            <w:tcW w:w="2706" w:type="dxa"/>
          </w:tcPr>
          <w:p w:rsidR="00140C98" w:rsidRDefault="006E29B2">
            <w:r>
              <w:t>Postscript –</w:t>
            </w:r>
            <w:r>
              <w:t xml:space="preserve"> 555-570</w:t>
            </w:r>
            <w:bookmarkStart w:id="0" w:name="_GoBack"/>
            <w:bookmarkEnd w:id="0"/>
          </w:p>
        </w:tc>
      </w:tr>
      <w:tr w:rsidR="00140C98" w:rsidTr="00860247">
        <w:trPr>
          <w:trHeight w:val="281"/>
        </w:trPr>
        <w:tc>
          <w:tcPr>
            <w:tcW w:w="2705" w:type="dxa"/>
          </w:tcPr>
          <w:p w:rsidR="00140C98" w:rsidRDefault="00140C98">
            <w:r>
              <w:t>Dec 14</w:t>
            </w:r>
          </w:p>
        </w:tc>
        <w:tc>
          <w:tcPr>
            <w:tcW w:w="2705" w:type="dxa"/>
          </w:tcPr>
          <w:p w:rsidR="00140C98" w:rsidRDefault="00140C98">
            <w:r>
              <w:t xml:space="preserve">FINAL </w:t>
            </w:r>
            <w:r w:rsidR="004F1326">
              <w:t>DAY</w:t>
            </w:r>
          </w:p>
        </w:tc>
        <w:tc>
          <w:tcPr>
            <w:tcW w:w="2706" w:type="dxa"/>
          </w:tcPr>
          <w:p w:rsidR="00140C98" w:rsidRDefault="004F1326">
            <w:r>
              <w:t>PAPERS DUE</w:t>
            </w:r>
          </w:p>
        </w:tc>
      </w:tr>
    </w:tbl>
    <w:p w:rsidR="00065858" w:rsidRDefault="00065858"/>
    <w:p w:rsidR="002D303E" w:rsidRDefault="002D303E">
      <w:r>
        <w:t>If you have any questions about the schedule of readings or the syllabus, please feel free to ask.</w:t>
      </w:r>
    </w:p>
    <w:sectPr w:rsidR="002D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F9"/>
    <w:rsid w:val="0000455F"/>
    <w:rsid w:val="00010EE6"/>
    <w:rsid w:val="00013D16"/>
    <w:rsid w:val="00016569"/>
    <w:rsid w:val="000306A9"/>
    <w:rsid w:val="000317BD"/>
    <w:rsid w:val="00041E29"/>
    <w:rsid w:val="00046968"/>
    <w:rsid w:val="0005099B"/>
    <w:rsid w:val="000554AE"/>
    <w:rsid w:val="00061188"/>
    <w:rsid w:val="00061548"/>
    <w:rsid w:val="00065858"/>
    <w:rsid w:val="000669F7"/>
    <w:rsid w:val="000712AA"/>
    <w:rsid w:val="00073BF9"/>
    <w:rsid w:val="00073E9E"/>
    <w:rsid w:val="00076987"/>
    <w:rsid w:val="00076C63"/>
    <w:rsid w:val="00076D21"/>
    <w:rsid w:val="00082E2F"/>
    <w:rsid w:val="00086362"/>
    <w:rsid w:val="0009584C"/>
    <w:rsid w:val="000A18EB"/>
    <w:rsid w:val="000B2048"/>
    <w:rsid w:val="000B3B2F"/>
    <w:rsid w:val="000B5982"/>
    <w:rsid w:val="000C465B"/>
    <w:rsid w:val="000E0576"/>
    <w:rsid w:val="000F0D5C"/>
    <w:rsid w:val="000F191D"/>
    <w:rsid w:val="000F1EB5"/>
    <w:rsid w:val="00111752"/>
    <w:rsid w:val="0011224F"/>
    <w:rsid w:val="00115518"/>
    <w:rsid w:val="00126ADF"/>
    <w:rsid w:val="00140C98"/>
    <w:rsid w:val="00144E9E"/>
    <w:rsid w:val="00151BE2"/>
    <w:rsid w:val="00162670"/>
    <w:rsid w:val="00164AA1"/>
    <w:rsid w:val="001672F4"/>
    <w:rsid w:val="0017114F"/>
    <w:rsid w:val="00171A28"/>
    <w:rsid w:val="001742F3"/>
    <w:rsid w:val="00193676"/>
    <w:rsid w:val="001A4FC2"/>
    <w:rsid w:val="001A5E4C"/>
    <w:rsid w:val="001A6F89"/>
    <w:rsid w:val="001B4EB1"/>
    <w:rsid w:val="001C5DA5"/>
    <w:rsid w:val="001C63A6"/>
    <w:rsid w:val="001F19FF"/>
    <w:rsid w:val="00216C4F"/>
    <w:rsid w:val="002270A1"/>
    <w:rsid w:val="00237886"/>
    <w:rsid w:val="00246CAD"/>
    <w:rsid w:val="00261AEA"/>
    <w:rsid w:val="002635FF"/>
    <w:rsid w:val="002832CC"/>
    <w:rsid w:val="00295235"/>
    <w:rsid w:val="00296D6D"/>
    <w:rsid w:val="002A36F9"/>
    <w:rsid w:val="002B5272"/>
    <w:rsid w:val="002B6EE4"/>
    <w:rsid w:val="002B7F87"/>
    <w:rsid w:val="002C0A75"/>
    <w:rsid w:val="002C36DA"/>
    <w:rsid w:val="002D303E"/>
    <w:rsid w:val="002D57E3"/>
    <w:rsid w:val="002E26D6"/>
    <w:rsid w:val="002F53EA"/>
    <w:rsid w:val="003148D2"/>
    <w:rsid w:val="00314D86"/>
    <w:rsid w:val="00314FD8"/>
    <w:rsid w:val="003224CE"/>
    <w:rsid w:val="003409C5"/>
    <w:rsid w:val="00354D3C"/>
    <w:rsid w:val="003656AB"/>
    <w:rsid w:val="00366A8A"/>
    <w:rsid w:val="00386482"/>
    <w:rsid w:val="0039579C"/>
    <w:rsid w:val="00396ED7"/>
    <w:rsid w:val="00397366"/>
    <w:rsid w:val="003A06C7"/>
    <w:rsid w:val="003A4DB3"/>
    <w:rsid w:val="003D4CDD"/>
    <w:rsid w:val="003D740F"/>
    <w:rsid w:val="003F5BF9"/>
    <w:rsid w:val="00415A09"/>
    <w:rsid w:val="004316CF"/>
    <w:rsid w:val="004444E9"/>
    <w:rsid w:val="004522AD"/>
    <w:rsid w:val="00456DA0"/>
    <w:rsid w:val="00463EB9"/>
    <w:rsid w:val="0046532D"/>
    <w:rsid w:val="004762AA"/>
    <w:rsid w:val="004908FE"/>
    <w:rsid w:val="004A0E36"/>
    <w:rsid w:val="004A1C10"/>
    <w:rsid w:val="004A6670"/>
    <w:rsid w:val="004B2653"/>
    <w:rsid w:val="004B2915"/>
    <w:rsid w:val="004D430D"/>
    <w:rsid w:val="004D4D41"/>
    <w:rsid w:val="004F1326"/>
    <w:rsid w:val="00500BB8"/>
    <w:rsid w:val="00503CD7"/>
    <w:rsid w:val="0050665C"/>
    <w:rsid w:val="00506C32"/>
    <w:rsid w:val="00520DBC"/>
    <w:rsid w:val="00526F28"/>
    <w:rsid w:val="005275E0"/>
    <w:rsid w:val="00530DBE"/>
    <w:rsid w:val="00546CFA"/>
    <w:rsid w:val="0056709D"/>
    <w:rsid w:val="00570B68"/>
    <w:rsid w:val="00572B2E"/>
    <w:rsid w:val="00577D4A"/>
    <w:rsid w:val="0059114E"/>
    <w:rsid w:val="00591183"/>
    <w:rsid w:val="0059641B"/>
    <w:rsid w:val="005B0603"/>
    <w:rsid w:val="005B6734"/>
    <w:rsid w:val="005D5029"/>
    <w:rsid w:val="005D61A4"/>
    <w:rsid w:val="005E1CCE"/>
    <w:rsid w:val="005E43A8"/>
    <w:rsid w:val="005E5707"/>
    <w:rsid w:val="005E69C8"/>
    <w:rsid w:val="005F216B"/>
    <w:rsid w:val="005F6045"/>
    <w:rsid w:val="00612676"/>
    <w:rsid w:val="00614E18"/>
    <w:rsid w:val="00627314"/>
    <w:rsid w:val="00632E4F"/>
    <w:rsid w:val="00641812"/>
    <w:rsid w:val="006425C3"/>
    <w:rsid w:val="00643354"/>
    <w:rsid w:val="00655853"/>
    <w:rsid w:val="00664CF3"/>
    <w:rsid w:val="006734BA"/>
    <w:rsid w:val="00685340"/>
    <w:rsid w:val="006906C5"/>
    <w:rsid w:val="0069232D"/>
    <w:rsid w:val="006A5CD3"/>
    <w:rsid w:val="006B03EB"/>
    <w:rsid w:val="006B137B"/>
    <w:rsid w:val="006C1695"/>
    <w:rsid w:val="006C31E3"/>
    <w:rsid w:val="006D44B8"/>
    <w:rsid w:val="006D5E06"/>
    <w:rsid w:val="006E29B2"/>
    <w:rsid w:val="006E64FA"/>
    <w:rsid w:val="006F0136"/>
    <w:rsid w:val="006F1530"/>
    <w:rsid w:val="006F6639"/>
    <w:rsid w:val="007003F0"/>
    <w:rsid w:val="00703825"/>
    <w:rsid w:val="007043DD"/>
    <w:rsid w:val="00711304"/>
    <w:rsid w:val="0071151B"/>
    <w:rsid w:val="00714F39"/>
    <w:rsid w:val="007361C3"/>
    <w:rsid w:val="007444CE"/>
    <w:rsid w:val="00746487"/>
    <w:rsid w:val="007471F4"/>
    <w:rsid w:val="0074739F"/>
    <w:rsid w:val="00747426"/>
    <w:rsid w:val="007760A6"/>
    <w:rsid w:val="00786200"/>
    <w:rsid w:val="00797141"/>
    <w:rsid w:val="007A2C28"/>
    <w:rsid w:val="007C69E5"/>
    <w:rsid w:val="007D3FBD"/>
    <w:rsid w:val="007D52A6"/>
    <w:rsid w:val="007D71D8"/>
    <w:rsid w:val="007E299B"/>
    <w:rsid w:val="007F1127"/>
    <w:rsid w:val="007F67DB"/>
    <w:rsid w:val="0080112A"/>
    <w:rsid w:val="00804337"/>
    <w:rsid w:val="00804B46"/>
    <w:rsid w:val="00806059"/>
    <w:rsid w:val="008365A9"/>
    <w:rsid w:val="00842E4F"/>
    <w:rsid w:val="00857B50"/>
    <w:rsid w:val="00860247"/>
    <w:rsid w:val="00871659"/>
    <w:rsid w:val="00871D64"/>
    <w:rsid w:val="00872DC9"/>
    <w:rsid w:val="00875D97"/>
    <w:rsid w:val="00890C43"/>
    <w:rsid w:val="008923D3"/>
    <w:rsid w:val="008A69C0"/>
    <w:rsid w:val="008C20DA"/>
    <w:rsid w:val="008C6D9A"/>
    <w:rsid w:val="008C75A1"/>
    <w:rsid w:val="008F2111"/>
    <w:rsid w:val="009031BF"/>
    <w:rsid w:val="00911093"/>
    <w:rsid w:val="00915B3C"/>
    <w:rsid w:val="00921214"/>
    <w:rsid w:val="00923758"/>
    <w:rsid w:val="009348E2"/>
    <w:rsid w:val="00935A80"/>
    <w:rsid w:val="009366AC"/>
    <w:rsid w:val="009532ED"/>
    <w:rsid w:val="00972961"/>
    <w:rsid w:val="00973CEA"/>
    <w:rsid w:val="009741AE"/>
    <w:rsid w:val="0097767C"/>
    <w:rsid w:val="00977B0A"/>
    <w:rsid w:val="00983B98"/>
    <w:rsid w:val="00984E44"/>
    <w:rsid w:val="009928D8"/>
    <w:rsid w:val="009A0B07"/>
    <w:rsid w:val="009C7219"/>
    <w:rsid w:val="009D716B"/>
    <w:rsid w:val="009E124E"/>
    <w:rsid w:val="009F26E1"/>
    <w:rsid w:val="00A260AB"/>
    <w:rsid w:val="00A306CE"/>
    <w:rsid w:val="00A40F70"/>
    <w:rsid w:val="00A45654"/>
    <w:rsid w:val="00A46178"/>
    <w:rsid w:val="00A463D4"/>
    <w:rsid w:val="00A53B4E"/>
    <w:rsid w:val="00A56380"/>
    <w:rsid w:val="00A6110B"/>
    <w:rsid w:val="00A642BA"/>
    <w:rsid w:val="00A6683F"/>
    <w:rsid w:val="00A70E75"/>
    <w:rsid w:val="00A71946"/>
    <w:rsid w:val="00A84D8A"/>
    <w:rsid w:val="00A90406"/>
    <w:rsid w:val="00A954AF"/>
    <w:rsid w:val="00A9663E"/>
    <w:rsid w:val="00AA7340"/>
    <w:rsid w:val="00AB589A"/>
    <w:rsid w:val="00AC4F3F"/>
    <w:rsid w:val="00AC65B8"/>
    <w:rsid w:val="00AD3143"/>
    <w:rsid w:val="00AD36B6"/>
    <w:rsid w:val="00AD7864"/>
    <w:rsid w:val="00AE6945"/>
    <w:rsid w:val="00B05E44"/>
    <w:rsid w:val="00B07395"/>
    <w:rsid w:val="00B12D81"/>
    <w:rsid w:val="00B1507E"/>
    <w:rsid w:val="00B150C1"/>
    <w:rsid w:val="00B15716"/>
    <w:rsid w:val="00B22398"/>
    <w:rsid w:val="00B32886"/>
    <w:rsid w:val="00B44858"/>
    <w:rsid w:val="00B472EB"/>
    <w:rsid w:val="00B50FCE"/>
    <w:rsid w:val="00B535E5"/>
    <w:rsid w:val="00B536A3"/>
    <w:rsid w:val="00B55426"/>
    <w:rsid w:val="00B652F6"/>
    <w:rsid w:val="00B74BFC"/>
    <w:rsid w:val="00B7692F"/>
    <w:rsid w:val="00B8481B"/>
    <w:rsid w:val="00BA1803"/>
    <w:rsid w:val="00BA3D51"/>
    <w:rsid w:val="00BA6CB7"/>
    <w:rsid w:val="00BB1894"/>
    <w:rsid w:val="00BB3F62"/>
    <w:rsid w:val="00BE1FB4"/>
    <w:rsid w:val="00BE2B2A"/>
    <w:rsid w:val="00C00A50"/>
    <w:rsid w:val="00C04CC4"/>
    <w:rsid w:val="00C14FEB"/>
    <w:rsid w:val="00C17197"/>
    <w:rsid w:val="00C17FA2"/>
    <w:rsid w:val="00C22586"/>
    <w:rsid w:val="00C36094"/>
    <w:rsid w:val="00C53794"/>
    <w:rsid w:val="00C53EEB"/>
    <w:rsid w:val="00C55F17"/>
    <w:rsid w:val="00C61000"/>
    <w:rsid w:val="00C63AE3"/>
    <w:rsid w:val="00C67E68"/>
    <w:rsid w:val="00C82342"/>
    <w:rsid w:val="00C86BEC"/>
    <w:rsid w:val="00C903A7"/>
    <w:rsid w:val="00C90DB7"/>
    <w:rsid w:val="00C94309"/>
    <w:rsid w:val="00CA7F57"/>
    <w:rsid w:val="00CC15B6"/>
    <w:rsid w:val="00CE0CDE"/>
    <w:rsid w:val="00CF794A"/>
    <w:rsid w:val="00D019C1"/>
    <w:rsid w:val="00D07EBF"/>
    <w:rsid w:val="00D10AC3"/>
    <w:rsid w:val="00D228F5"/>
    <w:rsid w:val="00D23E43"/>
    <w:rsid w:val="00D25FFB"/>
    <w:rsid w:val="00D26C2E"/>
    <w:rsid w:val="00D33056"/>
    <w:rsid w:val="00D33E37"/>
    <w:rsid w:val="00D36171"/>
    <w:rsid w:val="00D43123"/>
    <w:rsid w:val="00D439C0"/>
    <w:rsid w:val="00D452BF"/>
    <w:rsid w:val="00D4540E"/>
    <w:rsid w:val="00D460E6"/>
    <w:rsid w:val="00D6097E"/>
    <w:rsid w:val="00D61BC5"/>
    <w:rsid w:val="00D7077C"/>
    <w:rsid w:val="00D7350D"/>
    <w:rsid w:val="00D94145"/>
    <w:rsid w:val="00D94EF6"/>
    <w:rsid w:val="00D97F8A"/>
    <w:rsid w:val="00DB4E30"/>
    <w:rsid w:val="00DB5708"/>
    <w:rsid w:val="00DC3A60"/>
    <w:rsid w:val="00DC4FDD"/>
    <w:rsid w:val="00DD247B"/>
    <w:rsid w:val="00DE50CA"/>
    <w:rsid w:val="00DF1525"/>
    <w:rsid w:val="00DF54D1"/>
    <w:rsid w:val="00DF7D66"/>
    <w:rsid w:val="00E238FD"/>
    <w:rsid w:val="00E658B2"/>
    <w:rsid w:val="00E85A1B"/>
    <w:rsid w:val="00E92183"/>
    <w:rsid w:val="00E95E95"/>
    <w:rsid w:val="00E97C27"/>
    <w:rsid w:val="00EA09B7"/>
    <w:rsid w:val="00EC18A0"/>
    <w:rsid w:val="00ED1FA2"/>
    <w:rsid w:val="00ED62EB"/>
    <w:rsid w:val="00EE32D5"/>
    <w:rsid w:val="00EE6223"/>
    <w:rsid w:val="00F00F3A"/>
    <w:rsid w:val="00F02F51"/>
    <w:rsid w:val="00F15D6C"/>
    <w:rsid w:val="00F211C4"/>
    <w:rsid w:val="00F21697"/>
    <w:rsid w:val="00F267A2"/>
    <w:rsid w:val="00F26C02"/>
    <w:rsid w:val="00F3294E"/>
    <w:rsid w:val="00F32CEC"/>
    <w:rsid w:val="00F35938"/>
    <w:rsid w:val="00F36B46"/>
    <w:rsid w:val="00F40935"/>
    <w:rsid w:val="00F468E8"/>
    <w:rsid w:val="00F503A2"/>
    <w:rsid w:val="00F63C91"/>
    <w:rsid w:val="00F6620B"/>
    <w:rsid w:val="00F66590"/>
    <w:rsid w:val="00F669A1"/>
    <w:rsid w:val="00F67FA2"/>
    <w:rsid w:val="00F71487"/>
    <w:rsid w:val="00F761DC"/>
    <w:rsid w:val="00F85063"/>
    <w:rsid w:val="00F91407"/>
    <w:rsid w:val="00FA6412"/>
    <w:rsid w:val="00FB1A0F"/>
    <w:rsid w:val="00FB1E2F"/>
    <w:rsid w:val="00FB2336"/>
    <w:rsid w:val="00FC38EB"/>
    <w:rsid w:val="00FD25A7"/>
    <w:rsid w:val="00FD3DF4"/>
    <w:rsid w:val="00FD61A2"/>
    <w:rsid w:val="00FE01CD"/>
    <w:rsid w:val="00FE18EE"/>
    <w:rsid w:val="00FE2047"/>
    <w:rsid w:val="00FE258C"/>
    <w:rsid w:val="00FF01AC"/>
    <w:rsid w:val="00FF090E"/>
    <w:rsid w:val="00FF09C9"/>
    <w:rsid w:val="00FF3155"/>
    <w:rsid w:val="00FF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94F7"/>
  <w15:chartTrackingRefBased/>
  <w15:docId w15:val="{38EE9A7E-BCB8-4195-82F9-DE76FED2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000"/>
    <w:pPr>
      <w:spacing w:after="24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5708"/>
    <w:rPr>
      <w:color w:val="000080"/>
      <w:u w:val="single"/>
    </w:rPr>
  </w:style>
  <w:style w:type="character" w:customStyle="1" w:styleId="pslongeditbox1">
    <w:name w:val="pslongeditbox1"/>
    <w:basedOn w:val="DefaultParagraphFont"/>
    <w:rsid w:val="000317BD"/>
    <w:rPr>
      <w:rFonts w:ascii="Verdana" w:hAnsi="Verdana" w:hint="default"/>
      <w:b w:val="0"/>
      <w:bCs w:val="0"/>
      <w:i w:val="0"/>
      <w:iCs w:val="0"/>
      <w:color w:val="000000"/>
      <w:sz w:val="15"/>
      <w:szCs w:val="15"/>
    </w:rPr>
  </w:style>
  <w:style w:type="table" w:styleId="TableGrid">
    <w:name w:val="Table Grid"/>
    <w:basedOn w:val="TableNormal"/>
    <w:uiPriority w:val="39"/>
    <w:rsid w:val="00065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26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hamer@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Russ</cp:lastModifiedBy>
  <cp:revision>4</cp:revision>
  <dcterms:created xsi:type="dcterms:W3CDTF">2017-09-30T04:57:00Z</dcterms:created>
  <dcterms:modified xsi:type="dcterms:W3CDTF">2017-09-30T06:18:00Z</dcterms:modified>
</cp:coreProperties>
</file>